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0A" w:rsidRDefault="000846F6" w:rsidP="000846F6">
      <w:pPr>
        <w:widowControl/>
        <w:shd w:val="clear" w:color="auto" w:fill="FFFFFF"/>
        <w:spacing w:line="640" w:lineRule="exact"/>
        <w:ind w:firstLineChars="200" w:firstLine="562"/>
        <w:jc w:val="center"/>
        <w:rPr>
          <w:rFonts w:ascii="仿宋_GB2312" w:eastAsia="仿宋_GB2312" w:hAnsi="宋体" w:cs="宋体"/>
          <w:b/>
          <w:bCs/>
          <w:color w:val="333333"/>
          <w:kern w:val="0"/>
          <w:sz w:val="28"/>
          <w:szCs w:val="28"/>
        </w:rPr>
      </w:pPr>
      <w:r>
        <w:rPr>
          <w:rFonts w:ascii="仿宋_GB2312" w:eastAsia="仿宋_GB2312" w:hAnsi="宋体" w:cs="宋体" w:hint="eastAsia"/>
          <w:b/>
          <w:bCs/>
          <w:color w:val="333333"/>
          <w:kern w:val="0"/>
          <w:sz w:val="28"/>
          <w:szCs w:val="28"/>
        </w:rPr>
        <w:t>上海市教育委员会本级财政预算项目各类开支内容及标准依据</w:t>
      </w:r>
    </w:p>
    <w:p w:rsidR="000846F6" w:rsidRDefault="000846F6" w:rsidP="000846F6">
      <w:pPr>
        <w:widowControl/>
        <w:shd w:val="clear" w:color="auto" w:fill="FFFFFF"/>
        <w:spacing w:line="640" w:lineRule="exact"/>
        <w:ind w:firstLineChars="200" w:firstLine="562"/>
        <w:jc w:val="center"/>
        <w:rPr>
          <w:rFonts w:ascii="仿宋_GB2312" w:eastAsia="仿宋_GB2312" w:hAnsi="宋体" w:cs="宋体"/>
          <w:b/>
          <w:bCs/>
          <w:color w:val="333333"/>
          <w:kern w:val="0"/>
          <w:sz w:val="28"/>
          <w:szCs w:val="28"/>
        </w:rPr>
      </w:pPr>
    </w:p>
    <w:p w:rsidR="0065000A" w:rsidRDefault="000846F6">
      <w:pPr>
        <w:widowControl/>
        <w:shd w:val="clear" w:color="auto" w:fill="FFFFFF"/>
        <w:spacing w:line="64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项目经费支出主要费用内容包括：</w:t>
      </w:r>
    </w:p>
    <w:p w:rsidR="0065000A" w:rsidRDefault="000846F6">
      <w:pPr>
        <w:widowControl/>
        <w:shd w:val="clear" w:color="auto" w:fill="FFFFFF"/>
        <w:spacing w:line="64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1.差旅费：主要用于项目运行过程中开展相关考察、业务调研、学术交流等所发生的差旅费支出（含城市间交通费、住宿费、伙食补助费和市内交通费）。</w:t>
      </w:r>
    </w:p>
    <w:p w:rsidR="0065000A" w:rsidRDefault="000846F6">
      <w:pPr>
        <w:widowControl/>
        <w:shd w:val="clear" w:color="auto" w:fill="FFFFFF"/>
        <w:spacing w:line="64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应按照《上海市市级机关差旅费管理办法》（</w:t>
      </w:r>
      <w:proofErr w:type="gramStart"/>
      <w:r>
        <w:rPr>
          <w:rFonts w:ascii="仿宋_GB2312" w:eastAsia="仿宋_GB2312" w:hAnsi="宋体" w:cs="宋体" w:hint="eastAsia"/>
          <w:color w:val="333333"/>
          <w:kern w:val="0"/>
          <w:sz w:val="28"/>
          <w:szCs w:val="28"/>
        </w:rPr>
        <w:t>沪财行</w:t>
      </w:r>
      <w:proofErr w:type="gramEnd"/>
      <w:r>
        <w:rPr>
          <w:rFonts w:ascii="仿宋_GB2312" w:eastAsia="仿宋_GB2312" w:hAnsi="宋体" w:cs="宋体" w:hint="eastAsia"/>
          <w:color w:val="333333"/>
          <w:kern w:val="0"/>
          <w:sz w:val="28"/>
          <w:szCs w:val="28"/>
        </w:rPr>
        <w:t>〔2014〕9号）的规定分项列出，其中住宿费应按照《关于调整中央和国家机关差旅住宿费标准等有关问题的通知（财行〔2015〕497号）》的规定。应注明出差人数、出差地点、住宿天数和使用的交通工具；</w:t>
      </w:r>
    </w:p>
    <w:p w:rsidR="0065000A" w:rsidRDefault="000846F6">
      <w:pPr>
        <w:widowControl/>
        <w:shd w:val="clear" w:color="auto" w:fill="FFFFFF"/>
        <w:spacing w:line="64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2.培训费：主要用于项目组织开展培训的支出。</w:t>
      </w:r>
    </w:p>
    <w:p w:rsidR="0065000A" w:rsidRDefault="000846F6">
      <w:pPr>
        <w:widowControl/>
        <w:shd w:val="clear" w:color="auto" w:fill="FFFFFF"/>
        <w:spacing w:line="64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应按照《关于印发〈上海市市级机关培训费管理办法〉的通知》(</w:t>
      </w:r>
      <w:proofErr w:type="gramStart"/>
      <w:r>
        <w:rPr>
          <w:rFonts w:ascii="仿宋_GB2312" w:eastAsia="仿宋_GB2312" w:hAnsi="宋体" w:cs="宋体" w:hint="eastAsia"/>
          <w:color w:val="333333"/>
          <w:kern w:val="0"/>
          <w:sz w:val="28"/>
          <w:szCs w:val="28"/>
        </w:rPr>
        <w:t>沪财行</w:t>
      </w:r>
      <w:proofErr w:type="gramEnd"/>
      <w:r>
        <w:rPr>
          <w:rFonts w:ascii="仿宋_GB2312" w:eastAsia="仿宋_GB2312" w:hAnsi="宋体" w:cs="宋体" w:hint="eastAsia"/>
          <w:color w:val="333333"/>
          <w:kern w:val="0"/>
          <w:sz w:val="28"/>
          <w:szCs w:val="28"/>
        </w:rPr>
        <w:t>〔2014〕35号) 的规定执行：</w:t>
      </w:r>
    </w:p>
    <w:p w:rsidR="0065000A" w:rsidRDefault="000846F6">
      <w:pPr>
        <w:widowControl/>
        <w:shd w:val="clear" w:color="auto" w:fill="FFFFFF"/>
        <w:spacing w:line="600" w:lineRule="exact"/>
        <w:ind w:firstLineChars="200" w:firstLine="560"/>
        <w:jc w:val="righ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单位：元/人/天</w:t>
      </w:r>
    </w:p>
    <w:tbl>
      <w:tblPr>
        <w:tblW w:w="9510" w:type="dxa"/>
        <w:jc w:val="center"/>
        <w:tblLayout w:type="fixed"/>
        <w:tblLook w:val="04A0"/>
      </w:tblPr>
      <w:tblGrid>
        <w:gridCol w:w="1455"/>
        <w:gridCol w:w="1620"/>
        <w:gridCol w:w="1920"/>
        <w:gridCol w:w="3285"/>
        <w:gridCol w:w="1230"/>
      </w:tblGrid>
      <w:tr w:rsidR="0065000A">
        <w:trPr>
          <w:trHeight w:val="585"/>
          <w:jc w:val="center"/>
        </w:trPr>
        <w:tc>
          <w:tcPr>
            <w:tcW w:w="1455" w:type="dxa"/>
            <w:tcBorders>
              <w:top w:val="single" w:sz="8" w:space="0" w:color="auto"/>
              <w:left w:val="single" w:sz="8" w:space="0" w:color="auto"/>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住宿费</w:t>
            </w:r>
          </w:p>
        </w:tc>
        <w:tc>
          <w:tcPr>
            <w:tcW w:w="1620"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伙食费</w:t>
            </w:r>
          </w:p>
        </w:tc>
        <w:tc>
          <w:tcPr>
            <w:tcW w:w="1920"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场地费和讲课费</w:t>
            </w:r>
          </w:p>
        </w:tc>
        <w:tc>
          <w:tcPr>
            <w:tcW w:w="3285"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资料费、交通费和其他费用</w:t>
            </w:r>
          </w:p>
        </w:tc>
        <w:tc>
          <w:tcPr>
            <w:tcW w:w="1230"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合计</w:t>
            </w:r>
          </w:p>
        </w:tc>
      </w:tr>
      <w:tr w:rsidR="0065000A">
        <w:trPr>
          <w:trHeight w:val="300"/>
          <w:jc w:val="center"/>
        </w:trPr>
        <w:tc>
          <w:tcPr>
            <w:tcW w:w="1455" w:type="dxa"/>
            <w:tcBorders>
              <w:top w:val="nil"/>
              <w:left w:val="single" w:sz="8" w:space="0" w:color="auto"/>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ind w:firstLineChars="200" w:firstLine="480"/>
              <w:rPr>
                <w:rFonts w:ascii="仿宋_GB2312" w:eastAsia="仿宋_GB2312" w:hAnsi="宋体" w:cs="宋体"/>
                <w:color w:val="333333"/>
                <w:kern w:val="0"/>
                <w:sz w:val="24"/>
              </w:rPr>
            </w:pPr>
            <w:r>
              <w:rPr>
                <w:rFonts w:ascii="仿宋_GB2312" w:eastAsia="仿宋_GB2312" w:hAnsi="宋体" w:cs="宋体" w:hint="eastAsia"/>
                <w:color w:val="333333"/>
                <w:kern w:val="0"/>
                <w:sz w:val="24"/>
              </w:rPr>
              <w:t>≦180</w:t>
            </w:r>
          </w:p>
        </w:tc>
        <w:tc>
          <w:tcPr>
            <w:tcW w:w="1620"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ind w:firstLineChars="200" w:firstLine="480"/>
              <w:rPr>
                <w:rFonts w:ascii="仿宋_GB2312" w:eastAsia="仿宋_GB2312" w:hAnsi="宋体" w:cs="宋体"/>
                <w:color w:val="333333"/>
                <w:kern w:val="0"/>
                <w:sz w:val="24"/>
              </w:rPr>
            </w:pPr>
            <w:r>
              <w:rPr>
                <w:rFonts w:ascii="仿宋_GB2312" w:eastAsia="仿宋_GB2312" w:hAnsi="宋体" w:cs="宋体" w:hint="eastAsia"/>
                <w:color w:val="333333"/>
                <w:kern w:val="0"/>
                <w:sz w:val="24"/>
              </w:rPr>
              <w:t>≦110</w:t>
            </w:r>
          </w:p>
        </w:tc>
        <w:tc>
          <w:tcPr>
            <w:tcW w:w="1920"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ind w:firstLineChars="200" w:firstLine="480"/>
              <w:rPr>
                <w:rFonts w:ascii="仿宋_GB2312" w:eastAsia="仿宋_GB2312" w:hAnsi="宋体" w:cs="宋体"/>
                <w:color w:val="333333"/>
                <w:kern w:val="0"/>
                <w:sz w:val="24"/>
              </w:rPr>
            </w:pPr>
            <w:r>
              <w:rPr>
                <w:rFonts w:ascii="仿宋_GB2312" w:eastAsia="仿宋_GB2312" w:hAnsi="宋体" w:cs="宋体" w:hint="eastAsia"/>
                <w:color w:val="333333"/>
                <w:kern w:val="0"/>
                <w:sz w:val="24"/>
              </w:rPr>
              <w:t>≦100</w:t>
            </w:r>
          </w:p>
        </w:tc>
        <w:tc>
          <w:tcPr>
            <w:tcW w:w="3285"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ind w:firstLineChars="200" w:firstLine="480"/>
              <w:rPr>
                <w:rFonts w:ascii="仿宋_GB2312" w:eastAsia="仿宋_GB2312" w:hAnsi="宋体" w:cs="宋体"/>
                <w:color w:val="333333"/>
                <w:kern w:val="0"/>
                <w:sz w:val="24"/>
              </w:rPr>
            </w:pPr>
            <w:r>
              <w:rPr>
                <w:rFonts w:ascii="仿宋_GB2312" w:eastAsia="仿宋_GB2312" w:hAnsi="宋体" w:cs="宋体" w:hint="eastAsia"/>
                <w:color w:val="333333"/>
                <w:kern w:val="0"/>
                <w:sz w:val="24"/>
              </w:rPr>
              <w:t>≦60</w:t>
            </w:r>
          </w:p>
        </w:tc>
        <w:tc>
          <w:tcPr>
            <w:tcW w:w="1230"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00" w:lineRule="exact"/>
              <w:rPr>
                <w:rFonts w:ascii="仿宋_GB2312" w:eastAsia="仿宋_GB2312" w:hAnsi="宋体" w:cs="宋体"/>
                <w:color w:val="333333"/>
                <w:kern w:val="0"/>
                <w:sz w:val="24"/>
              </w:rPr>
            </w:pPr>
            <w:r>
              <w:rPr>
                <w:rFonts w:ascii="仿宋_GB2312" w:eastAsia="仿宋_GB2312" w:hAnsi="宋体" w:cs="宋体" w:hint="eastAsia"/>
                <w:color w:val="333333"/>
                <w:kern w:val="0"/>
                <w:sz w:val="24"/>
              </w:rPr>
              <w:t>≦450</w:t>
            </w:r>
          </w:p>
        </w:tc>
      </w:tr>
    </w:tbl>
    <w:p w:rsidR="0065000A" w:rsidRDefault="000846F6">
      <w:pPr>
        <w:widowControl/>
        <w:shd w:val="clear" w:color="auto" w:fill="FFFFFF"/>
        <w:spacing w:line="64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单位：元/人/半天</w:t>
      </w:r>
    </w:p>
    <w:tbl>
      <w:tblPr>
        <w:tblW w:w="9160" w:type="dxa"/>
        <w:jc w:val="center"/>
        <w:tblLayout w:type="fixed"/>
        <w:tblLook w:val="04A0"/>
      </w:tblPr>
      <w:tblGrid>
        <w:gridCol w:w="1975"/>
        <w:gridCol w:w="2576"/>
        <w:gridCol w:w="2209"/>
        <w:gridCol w:w="2400"/>
      </w:tblGrid>
      <w:tr w:rsidR="0065000A">
        <w:trPr>
          <w:trHeight w:val="333"/>
          <w:jc w:val="center"/>
        </w:trPr>
        <w:tc>
          <w:tcPr>
            <w:tcW w:w="1975" w:type="dxa"/>
            <w:vMerge w:val="restart"/>
            <w:tcBorders>
              <w:top w:val="single" w:sz="8" w:space="0" w:color="auto"/>
              <w:left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讲课费（税后）</w:t>
            </w:r>
          </w:p>
        </w:tc>
        <w:tc>
          <w:tcPr>
            <w:tcW w:w="2576"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院士、全国知名专家</w:t>
            </w:r>
          </w:p>
        </w:tc>
        <w:tc>
          <w:tcPr>
            <w:tcW w:w="2209"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正高级技术职称</w:t>
            </w:r>
          </w:p>
        </w:tc>
        <w:tc>
          <w:tcPr>
            <w:tcW w:w="2400" w:type="dxa"/>
            <w:tcBorders>
              <w:top w:val="single" w:sz="8" w:space="0" w:color="auto"/>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副高级技术职称</w:t>
            </w:r>
          </w:p>
        </w:tc>
      </w:tr>
      <w:tr w:rsidR="0065000A">
        <w:trPr>
          <w:trHeight w:val="300"/>
          <w:jc w:val="center"/>
        </w:trPr>
        <w:tc>
          <w:tcPr>
            <w:tcW w:w="1975" w:type="dxa"/>
            <w:vMerge/>
            <w:tcBorders>
              <w:left w:val="single" w:sz="8" w:space="0" w:color="auto"/>
              <w:bottom w:val="single" w:sz="8" w:space="0" w:color="auto"/>
              <w:right w:val="single" w:sz="8" w:space="0" w:color="auto"/>
            </w:tcBorders>
            <w:shd w:val="clear" w:color="auto" w:fill="auto"/>
          </w:tcPr>
          <w:p w:rsidR="0065000A" w:rsidRDefault="0065000A">
            <w:pPr>
              <w:widowControl/>
              <w:shd w:val="clear" w:color="auto" w:fill="FFFFFF"/>
              <w:spacing w:line="640" w:lineRule="exact"/>
              <w:ind w:firstLineChars="200" w:firstLine="480"/>
              <w:jc w:val="left"/>
              <w:rPr>
                <w:rFonts w:ascii="仿宋_GB2312" w:eastAsia="仿宋_GB2312" w:hAnsi="宋体" w:cs="宋体"/>
                <w:color w:val="333333"/>
                <w:kern w:val="0"/>
                <w:sz w:val="24"/>
              </w:rPr>
            </w:pPr>
          </w:p>
        </w:tc>
        <w:tc>
          <w:tcPr>
            <w:tcW w:w="2576"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ind w:firstLineChars="200" w:firstLine="480"/>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≦3000</w:t>
            </w:r>
          </w:p>
        </w:tc>
        <w:tc>
          <w:tcPr>
            <w:tcW w:w="2209"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ind w:firstLineChars="200" w:firstLine="480"/>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≦2000</w:t>
            </w:r>
          </w:p>
        </w:tc>
        <w:tc>
          <w:tcPr>
            <w:tcW w:w="2400" w:type="dxa"/>
            <w:tcBorders>
              <w:top w:val="nil"/>
              <w:left w:val="nil"/>
              <w:bottom w:val="single" w:sz="8" w:space="0" w:color="auto"/>
              <w:right w:val="single" w:sz="8" w:space="0" w:color="auto"/>
            </w:tcBorders>
            <w:shd w:val="clear" w:color="auto" w:fill="auto"/>
            <w:vAlign w:val="center"/>
          </w:tcPr>
          <w:p w:rsidR="0065000A" w:rsidRDefault="000846F6">
            <w:pPr>
              <w:widowControl/>
              <w:shd w:val="clear" w:color="auto" w:fill="FFFFFF"/>
              <w:spacing w:line="640" w:lineRule="exact"/>
              <w:ind w:firstLineChars="200" w:firstLine="480"/>
              <w:jc w:val="left"/>
              <w:rPr>
                <w:rFonts w:ascii="仿宋_GB2312" w:eastAsia="仿宋_GB2312" w:hAnsi="宋体" w:cs="宋体"/>
                <w:color w:val="333333"/>
                <w:kern w:val="0"/>
                <w:sz w:val="24"/>
              </w:rPr>
            </w:pPr>
            <w:r>
              <w:rPr>
                <w:rFonts w:ascii="仿宋_GB2312" w:eastAsia="仿宋_GB2312" w:hAnsi="宋体" w:cs="宋体" w:hint="eastAsia"/>
                <w:color w:val="333333"/>
                <w:kern w:val="0"/>
                <w:sz w:val="24"/>
              </w:rPr>
              <w:t>≦1000</w:t>
            </w:r>
          </w:p>
        </w:tc>
      </w:tr>
    </w:tbl>
    <w:p w:rsidR="0065000A" w:rsidRDefault="000846F6">
      <w:pPr>
        <w:widowControl/>
        <w:shd w:val="clear" w:color="auto" w:fill="FFFFFF"/>
        <w:spacing w:line="60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填报申报书时应分项列出。涉及两项及两项以上开支内容的，可在所涉及的相关经费标准合计金额内统筹使用。</w:t>
      </w:r>
    </w:p>
    <w:p w:rsidR="0065000A" w:rsidRDefault="000846F6">
      <w:pPr>
        <w:widowControl/>
        <w:numPr>
          <w:ilvl w:val="0"/>
          <w:numId w:val="1"/>
        </w:numPr>
        <w:shd w:val="clear" w:color="auto" w:fill="FFFFFF"/>
        <w:spacing w:line="60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场地租赁费：主要用于项目实施过程中租赁场地而发生的支出。</w:t>
      </w:r>
    </w:p>
    <w:p w:rsidR="0065000A"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需注明租用场次、使用时长、场地类型、收费标准。</w:t>
      </w:r>
    </w:p>
    <w:p w:rsidR="0065000A" w:rsidRDefault="000846F6">
      <w:pPr>
        <w:widowControl/>
        <w:numPr>
          <w:ilvl w:val="0"/>
          <w:numId w:val="1"/>
        </w:numPr>
        <w:shd w:val="clear" w:color="auto" w:fill="FFFFFF"/>
        <w:spacing w:line="60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设备费：主要用于项目运行所需设备的购置、租赁、使用等相关支出。</w:t>
      </w:r>
    </w:p>
    <w:p w:rsidR="0065000A" w:rsidRDefault="000846F6">
      <w:pPr>
        <w:widowControl/>
        <w:shd w:val="clear" w:color="auto" w:fill="FFFFFF"/>
        <w:spacing w:line="600" w:lineRule="exact"/>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需分类分项列出，标明品牌规格型号等技术参数，标明采购方式。</w:t>
      </w:r>
    </w:p>
    <w:p w:rsidR="0065000A" w:rsidRDefault="000846F6">
      <w:pPr>
        <w:widowControl/>
        <w:shd w:val="clear" w:color="auto" w:fill="FFFFFF"/>
        <w:spacing w:line="600" w:lineRule="exact"/>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5.材料费：主要用于项目运行过程中消耗的各种原材料、辅助材料等易耗品的采购及运输等支出。</w:t>
      </w:r>
    </w:p>
    <w:p w:rsidR="0065000A"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6.交通费：主要用于市内交通和租赁车辆等费用。</w:t>
      </w:r>
    </w:p>
    <w:p w:rsidR="000846F6"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市内交通实报实销，参照差旅费标准≦80元/人/天，不得发放现金。</w:t>
      </w:r>
    </w:p>
    <w:p w:rsidR="0065000A"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租赁车辆需注明车辆类型、乘坐人数、租车天数、收费标准等。</w:t>
      </w:r>
    </w:p>
    <w:p w:rsidR="000846F6"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外埠交通费在差旅费中体现。</w:t>
      </w:r>
    </w:p>
    <w:p w:rsidR="0065000A" w:rsidRDefault="000846F6">
      <w:pPr>
        <w:widowControl/>
        <w:numPr>
          <w:ilvl w:val="0"/>
          <w:numId w:val="2"/>
        </w:numPr>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餐费：主要用于非本单位人员及学生活动、演出等支出。</w:t>
      </w:r>
    </w:p>
    <w:p w:rsidR="0065000A"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本市餐费参照培训费标准≦110元/人/天，统一支出，不得发放现金。</w:t>
      </w:r>
    </w:p>
    <w:p w:rsidR="000846F6" w:rsidRPr="000846F6" w:rsidRDefault="000846F6" w:rsidP="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外埠餐费在差旅费中体现。</w:t>
      </w:r>
    </w:p>
    <w:p w:rsidR="0065000A" w:rsidRDefault="000846F6">
      <w:pPr>
        <w:widowControl/>
        <w:numPr>
          <w:ilvl w:val="0"/>
          <w:numId w:val="2"/>
        </w:numPr>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出版、文献、知识产权等费用：主要用于项目运行过程中需要支付的出版费、资料费、邮费、文献检索费、专利申请及其知识产权事务等支出。</w:t>
      </w:r>
    </w:p>
    <w:p w:rsidR="0065000A" w:rsidRDefault="000846F6">
      <w:pPr>
        <w:widowControl/>
        <w:numPr>
          <w:ilvl w:val="0"/>
          <w:numId w:val="2"/>
        </w:numPr>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劳务费：主要用于直接参加项目人员（项目所在单位在职人员除外）的劳务性支出。</w:t>
      </w:r>
    </w:p>
    <w:p w:rsidR="0065000A" w:rsidRDefault="000846F6">
      <w:pPr>
        <w:widowControl/>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需注明人数（人次）、标准、时长、劳务内容等。视劳务类型测算。</w:t>
      </w:r>
    </w:p>
    <w:p w:rsidR="0065000A" w:rsidRDefault="000846F6">
      <w:pPr>
        <w:widowControl/>
        <w:numPr>
          <w:ilvl w:val="0"/>
          <w:numId w:val="2"/>
        </w:numPr>
        <w:shd w:val="clear" w:color="auto" w:fill="FFFFFF"/>
        <w:spacing w:line="600" w:lineRule="exact"/>
        <w:ind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专家咨询费：主要用于项目运行过程中支付给临时聘请的咨询专家的支出。</w:t>
      </w:r>
    </w:p>
    <w:p w:rsidR="0065000A" w:rsidRDefault="000846F6">
      <w:pPr>
        <w:widowControl/>
        <w:shd w:val="clear" w:color="auto" w:fill="FFFFFF"/>
        <w:spacing w:line="600" w:lineRule="exact"/>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需注明人数（人次）、标准、时长、咨询内容等。参照培训费中讲课费标准。</w:t>
      </w:r>
    </w:p>
    <w:p w:rsidR="0065000A" w:rsidRDefault="000846F6">
      <w:pPr>
        <w:widowControl/>
        <w:shd w:val="clear" w:color="auto" w:fill="FFFFFF"/>
        <w:spacing w:line="600" w:lineRule="exact"/>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*以上费用凡涉及政府采购的应按照国家和本市关于服务项目政府采购的要求执行。拟委托学会、协会、基金会等各类社会团体和企业具体实施的，应严格按照规定履行政府采购程序。</w:t>
      </w:r>
    </w:p>
    <w:p w:rsidR="0065000A" w:rsidRDefault="000846F6">
      <w:pPr>
        <w:widowControl/>
        <w:shd w:val="clear" w:color="auto" w:fill="FFFFFF"/>
        <w:spacing w:line="600" w:lineRule="exact"/>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*不得填列“其他”和“不可预计费用”等。</w:t>
      </w:r>
    </w:p>
    <w:p w:rsidR="0065000A" w:rsidRDefault="0065000A">
      <w:bookmarkStart w:id="0" w:name="_GoBack"/>
      <w:bookmarkEnd w:id="0"/>
    </w:p>
    <w:sectPr w:rsidR="0065000A" w:rsidSect="00E35C1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C16" w:rsidRDefault="000846F6">
      <w:r>
        <w:separator/>
      </w:r>
    </w:p>
  </w:endnote>
  <w:endnote w:type="continuationSeparator" w:id="1">
    <w:p w:rsidR="00E35C16" w:rsidRDefault="000846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00A" w:rsidRDefault="00E35C16">
    <w:pPr>
      <w:pStyle w:val="a3"/>
    </w:pPr>
    <w:r>
      <w:rPr>
        <w:noProof/>
      </w:rP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5000A" w:rsidRDefault="00E35C16">
                <w:pPr>
                  <w:snapToGrid w:val="0"/>
                  <w:rPr>
                    <w:sz w:val="18"/>
                  </w:rPr>
                </w:pPr>
                <w:r>
                  <w:rPr>
                    <w:rFonts w:hint="eastAsia"/>
                    <w:sz w:val="18"/>
                  </w:rPr>
                  <w:fldChar w:fldCharType="begin"/>
                </w:r>
                <w:r w:rsidR="000846F6">
                  <w:rPr>
                    <w:rFonts w:hint="eastAsia"/>
                    <w:sz w:val="18"/>
                  </w:rPr>
                  <w:instrText xml:space="preserve"> PAGE  \* MERGEFORMAT </w:instrText>
                </w:r>
                <w:r>
                  <w:rPr>
                    <w:rFonts w:hint="eastAsia"/>
                    <w:sz w:val="18"/>
                  </w:rPr>
                  <w:fldChar w:fldCharType="separate"/>
                </w:r>
                <w:r w:rsidR="00B8216A">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C16" w:rsidRDefault="000846F6">
      <w:r>
        <w:separator/>
      </w:r>
    </w:p>
  </w:footnote>
  <w:footnote w:type="continuationSeparator" w:id="1">
    <w:p w:rsidR="00E35C16" w:rsidRDefault="000846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7DAE5"/>
    <w:multiLevelType w:val="singleLevel"/>
    <w:tmpl w:val="58C7DAE5"/>
    <w:lvl w:ilvl="0">
      <w:start w:val="3"/>
      <w:numFmt w:val="decimal"/>
      <w:suff w:val="nothing"/>
      <w:lvlText w:val="%1."/>
      <w:lvlJc w:val="left"/>
    </w:lvl>
  </w:abstractNum>
  <w:abstractNum w:abstractNumId="1">
    <w:nsid w:val="58C7E175"/>
    <w:multiLevelType w:val="singleLevel"/>
    <w:tmpl w:val="58C7E175"/>
    <w:lvl w:ilvl="0">
      <w:start w:val="7"/>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229594C"/>
    <w:rsid w:val="000846F6"/>
    <w:rsid w:val="0065000A"/>
    <w:rsid w:val="0092109B"/>
    <w:rsid w:val="00B8216A"/>
    <w:rsid w:val="00E35C16"/>
    <w:rsid w:val="0C055290"/>
    <w:rsid w:val="0E9E1761"/>
    <w:rsid w:val="10080007"/>
    <w:rsid w:val="105E6DD9"/>
    <w:rsid w:val="175526CA"/>
    <w:rsid w:val="1A6D499A"/>
    <w:rsid w:val="325C10BC"/>
    <w:rsid w:val="33BE28DD"/>
    <w:rsid w:val="37414B1D"/>
    <w:rsid w:val="38DE2F3E"/>
    <w:rsid w:val="3AB924E3"/>
    <w:rsid w:val="413B7B33"/>
    <w:rsid w:val="4ED272D1"/>
    <w:rsid w:val="50312105"/>
    <w:rsid w:val="5229594C"/>
    <w:rsid w:val="570D2742"/>
    <w:rsid w:val="57891190"/>
    <w:rsid w:val="57A56E3E"/>
    <w:rsid w:val="5B83232F"/>
    <w:rsid w:val="5FAB377E"/>
    <w:rsid w:val="72727C39"/>
    <w:rsid w:val="7BFE71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5C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35C16"/>
    <w:pPr>
      <w:tabs>
        <w:tab w:val="center" w:pos="4153"/>
        <w:tab w:val="right" w:pos="8306"/>
      </w:tabs>
      <w:snapToGrid w:val="0"/>
      <w:jc w:val="left"/>
    </w:pPr>
    <w:rPr>
      <w:sz w:val="18"/>
    </w:rPr>
  </w:style>
  <w:style w:type="paragraph" w:styleId="a4">
    <w:name w:val="header"/>
    <w:basedOn w:val="a"/>
    <w:qFormat/>
    <w:rsid w:val="00E35C1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96</Characters>
  <Application>Microsoft Office Word</Application>
  <DocSecurity>0</DocSecurity>
  <Lines>1</Lines>
  <Paragraphs>2</Paragraphs>
  <ScaleCrop>false</ScaleCrop>
  <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雨林木风</cp:lastModifiedBy>
  <cp:revision>2</cp:revision>
  <cp:lastPrinted>2017-03-14T11:59:00Z</cp:lastPrinted>
  <dcterms:created xsi:type="dcterms:W3CDTF">2017-04-15T04:20:00Z</dcterms:created>
  <dcterms:modified xsi:type="dcterms:W3CDTF">2017-04-15T04:20:00Z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